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14" w:tblpY="1080"/>
        <w:tblW w:w="15877" w:type="dxa"/>
        <w:tblLook w:val="04A0" w:firstRow="1" w:lastRow="0" w:firstColumn="1" w:lastColumn="0" w:noHBand="0" w:noVBand="1"/>
      </w:tblPr>
      <w:tblGrid>
        <w:gridCol w:w="2269"/>
        <w:gridCol w:w="2739"/>
        <w:gridCol w:w="1938"/>
        <w:gridCol w:w="4395"/>
        <w:gridCol w:w="4536"/>
      </w:tblGrid>
      <w:tr w:rsidR="000350F0" w:rsidRPr="000350F0" w14:paraId="0B3D099A" w14:textId="77777777" w:rsidTr="00CA5C04">
        <w:tc>
          <w:tcPr>
            <w:tcW w:w="2269" w:type="dxa"/>
            <w:shd w:val="clear" w:color="auto" w:fill="943634" w:themeFill="accent2" w:themeFillShade="BF"/>
          </w:tcPr>
          <w:p w14:paraId="4B73CB0C" w14:textId="0DAEA4B6" w:rsidR="005D4B5B" w:rsidRPr="000350F0" w:rsidRDefault="005D4B5B" w:rsidP="00CA5C0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50F0">
              <w:rPr>
                <w:b/>
                <w:color w:val="FFFFFF" w:themeColor="background1"/>
                <w:sz w:val="28"/>
                <w:szCs w:val="28"/>
              </w:rPr>
              <w:t>Date / Time</w:t>
            </w:r>
          </w:p>
        </w:tc>
        <w:tc>
          <w:tcPr>
            <w:tcW w:w="2739" w:type="dxa"/>
            <w:shd w:val="clear" w:color="auto" w:fill="943634" w:themeFill="accent2" w:themeFillShade="BF"/>
          </w:tcPr>
          <w:p w14:paraId="35B8E976" w14:textId="5256E818" w:rsidR="005D4B5B" w:rsidRPr="000350F0" w:rsidRDefault="005D4B5B" w:rsidP="00CA5C0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50F0">
              <w:rPr>
                <w:b/>
                <w:color w:val="FFFFFF" w:themeColor="background1"/>
                <w:sz w:val="28"/>
                <w:szCs w:val="28"/>
              </w:rPr>
              <w:t>Name of Close Contact</w:t>
            </w:r>
          </w:p>
        </w:tc>
        <w:tc>
          <w:tcPr>
            <w:tcW w:w="1938" w:type="dxa"/>
            <w:shd w:val="clear" w:color="auto" w:fill="943634" w:themeFill="accent2" w:themeFillShade="BF"/>
          </w:tcPr>
          <w:p w14:paraId="34417575" w14:textId="3BE0AF7C" w:rsidR="005D4B5B" w:rsidRPr="000350F0" w:rsidRDefault="005D4B5B" w:rsidP="00CA5C0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50F0">
              <w:rPr>
                <w:b/>
                <w:color w:val="FFFFFF" w:themeColor="background1"/>
                <w:sz w:val="28"/>
                <w:szCs w:val="28"/>
              </w:rPr>
              <w:t>Phone Number</w:t>
            </w:r>
          </w:p>
        </w:tc>
        <w:tc>
          <w:tcPr>
            <w:tcW w:w="4395" w:type="dxa"/>
            <w:shd w:val="clear" w:color="auto" w:fill="943634" w:themeFill="accent2" w:themeFillShade="BF"/>
          </w:tcPr>
          <w:p w14:paraId="4E43EB23" w14:textId="524F347E" w:rsidR="005D4B5B" w:rsidRPr="000350F0" w:rsidRDefault="005D4B5B" w:rsidP="00CA5C0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50F0">
              <w:rPr>
                <w:b/>
                <w:color w:val="FFFFFF" w:themeColor="background1"/>
                <w:sz w:val="28"/>
                <w:szCs w:val="28"/>
              </w:rPr>
              <w:t>Email address</w:t>
            </w:r>
          </w:p>
        </w:tc>
        <w:tc>
          <w:tcPr>
            <w:tcW w:w="4536" w:type="dxa"/>
            <w:shd w:val="clear" w:color="auto" w:fill="943634" w:themeFill="accent2" w:themeFillShade="BF"/>
          </w:tcPr>
          <w:p w14:paraId="1EA06B31" w14:textId="77777777" w:rsidR="005D4B5B" w:rsidRPr="000350F0" w:rsidRDefault="005D4B5B" w:rsidP="00CA5C0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50F0">
              <w:rPr>
                <w:b/>
                <w:color w:val="FFFFFF" w:themeColor="background1"/>
                <w:sz w:val="28"/>
                <w:szCs w:val="28"/>
              </w:rPr>
              <w:t>Location of Close Contact</w:t>
            </w:r>
          </w:p>
        </w:tc>
      </w:tr>
      <w:tr w:rsidR="005D4B5B" w14:paraId="7B083BB3" w14:textId="77777777" w:rsidTr="00CA5C04">
        <w:tc>
          <w:tcPr>
            <w:tcW w:w="2269" w:type="dxa"/>
          </w:tcPr>
          <w:p w14:paraId="1BD4FA3D" w14:textId="77777777" w:rsidR="005D4B5B" w:rsidRDefault="005D4B5B" w:rsidP="00CA5C04">
            <w:pPr>
              <w:jc w:val="center"/>
            </w:pPr>
          </w:p>
          <w:p w14:paraId="3FA60168" w14:textId="0AE55AB1" w:rsidR="002006A1" w:rsidRDefault="002006A1" w:rsidP="00CA5C04">
            <w:pPr>
              <w:jc w:val="center"/>
            </w:pPr>
          </w:p>
        </w:tc>
        <w:tc>
          <w:tcPr>
            <w:tcW w:w="2739" w:type="dxa"/>
          </w:tcPr>
          <w:p w14:paraId="3EEAAF5D" w14:textId="77777777" w:rsidR="005D4B5B" w:rsidRDefault="005D4B5B" w:rsidP="00CA5C04">
            <w:pPr>
              <w:jc w:val="center"/>
            </w:pPr>
          </w:p>
        </w:tc>
        <w:tc>
          <w:tcPr>
            <w:tcW w:w="1938" w:type="dxa"/>
          </w:tcPr>
          <w:p w14:paraId="5E90CFEA" w14:textId="308023D0" w:rsidR="005D4B5B" w:rsidRDefault="005D4B5B" w:rsidP="00CA5C04">
            <w:pPr>
              <w:jc w:val="center"/>
            </w:pPr>
          </w:p>
        </w:tc>
        <w:tc>
          <w:tcPr>
            <w:tcW w:w="4395" w:type="dxa"/>
          </w:tcPr>
          <w:p w14:paraId="74853BBE" w14:textId="77777777" w:rsidR="005D4B5B" w:rsidRDefault="005D4B5B" w:rsidP="00CA5C04">
            <w:pPr>
              <w:jc w:val="center"/>
            </w:pPr>
          </w:p>
        </w:tc>
        <w:tc>
          <w:tcPr>
            <w:tcW w:w="4536" w:type="dxa"/>
          </w:tcPr>
          <w:p w14:paraId="3651CBE7" w14:textId="77777777" w:rsidR="005D4B5B" w:rsidRDefault="005D4B5B" w:rsidP="00CA5C04">
            <w:pPr>
              <w:jc w:val="center"/>
            </w:pPr>
          </w:p>
        </w:tc>
      </w:tr>
      <w:tr w:rsidR="005D4B5B" w14:paraId="70665E6E" w14:textId="77777777" w:rsidTr="00CA5C04">
        <w:tc>
          <w:tcPr>
            <w:tcW w:w="2269" w:type="dxa"/>
          </w:tcPr>
          <w:p w14:paraId="6B9EA00B" w14:textId="77777777" w:rsidR="005D4B5B" w:rsidRDefault="005D4B5B" w:rsidP="00CA5C04">
            <w:pPr>
              <w:jc w:val="center"/>
            </w:pPr>
          </w:p>
          <w:p w14:paraId="05E7399E" w14:textId="43AD54E5" w:rsidR="00DC1D35" w:rsidRDefault="00DC1D35" w:rsidP="00CA5C04">
            <w:pPr>
              <w:jc w:val="center"/>
            </w:pPr>
          </w:p>
        </w:tc>
        <w:tc>
          <w:tcPr>
            <w:tcW w:w="2739" w:type="dxa"/>
          </w:tcPr>
          <w:p w14:paraId="56D32D95" w14:textId="77777777" w:rsidR="005D4B5B" w:rsidRDefault="005D4B5B" w:rsidP="00CA5C04">
            <w:pPr>
              <w:jc w:val="center"/>
            </w:pPr>
          </w:p>
        </w:tc>
        <w:tc>
          <w:tcPr>
            <w:tcW w:w="1938" w:type="dxa"/>
          </w:tcPr>
          <w:p w14:paraId="129A11FB" w14:textId="52F9DE54" w:rsidR="005D4B5B" w:rsidRDefault="005D4B5B" w:rsidP="00CA5C04">
            <w:pPr>
              <w:jc w:val="center"/>
            </w:pPr>
          </w:p>
        </w:tc>
        <w:tc>
          <w:tcPr>
            <w:tcW w:w="4395" w:type="dxa"/>
          </w:tcPr>
          <w:p w14:paraId="3BB08AC6" w14:textId="77777777" w:rsidR="005D4B5B" w:rsidRDefault="005D4B5B" w:rsidP="00CA5C04">
            <w:pPr>
              <w:jc w:val="center"/>
            </w:pPr>
          </w:p>
        </w:tc>
        <w:tc>
          <w:tcPr>
            <w:tcW w:w="4536" w:type="dxa"/>
          </w:tcPr>
          <w:p w14:paraId="7EC8976E" w14:textId="77777777" w:rsidR="005D4B5B" w:rsidRDefault="005D4B5B" w:rsidP="00CA5C04">
            <w:pPr>
              <w:jc w:val="center"/>
            </w:pPr>
          </w:p>
        </w:tc>
      </w:tr>
      <w:tr w:rsidR="005D4B5B" w14:paraId="6EB52903" w14:textId="77777777" w:rsidTr="00CA5C04">
        <w:tc>
          <w:tcPr>
            <w:tcW w:w="2269" w:type="dxa"/>
          </w:tcPr>
          <w:p w14:paraId="149A282D" w14:textId="77777777" w:rsidR="005D4B5B" w:rsidRDefault="005D4B5B" w:rsidP="00CA5C04">
            <w:pPr>
              <w:jc w:val="center"/>
            </w:pPr>
          </w:p>
          <w:p w14:paraId="22418B63" w14:textId="3F6EB172" w:rsidR="00DC1D35" w:rsidRDefault="00DC1D35" w:rsidP="00CA5C04">
            <w:pPr>
              <w:jc w:val="center"/>
            </w:pPr>
          </w:p>
        </w:tc>
        <w:tc>
          <w:tcPr>
            <w:tcW w:w="2739" w:type="dxa"/>
          </w:tcPr>
          <w:p w14:paraId="784FD83F" w14:textId="77777777" w:rsidR="005D4B5B" w:rsidRDefault="005D4B5B" w:rsidP="00CA5C04">
            <w:pPr>
              <w:jc w:val="center"/>
            </w:pPr>
          </w:p>
        </w:tc>
        <w:tc>
          <w:tcPr>
            <w:tcW w:w="1938" w:type="dxa"/>
          </w:tcPr>
          <w:p w14:paraId="478D1E52" w14:textId="212DE250" w:rsidR="005D4B5B" w:rsidRDefault="005D4B5B" w:rsidP="00CA5C04">
            <w:pPr>
              <w:jc w:val="center"/>
            </w:pPr>
          </w:p>
        </w:tc>
        <w:tc>
          <w:tcPr>
            <w:tcW w:w="4395" w:type="dxa"/>
          </w:tcPr>
          <w:p w14:paraId="0BD102F7" w14:textId="77777777" w:rsidR="005D4B5B" w:rsidRDefault="005D4B5B" w:rsidP="00CA5C04">
            <w:pPr>
              <w:jc w:val="center"/>
            </w:pPr>
          </w:p>
        </w:tc>
        <w:tc>
          <w:tcPr>
            <w:tcW w:w="4536" w:type="dxa"/>
          </w:tcPr>
          <w:p w14:paraId="6C6B62AB" w14:textId="77777777" w:rsidR="005D4B5B" w:rsidRDefault="005D4B5B" w:rsidP="00CA5C04">
            <w:pPr>
              <w:jc w:val="center"/>
            </w:pPr>
          </w:p>
        </w:tc>
      </w:tr>
      <w:tr w:rsidR="005D4B5B" w14:paraId="5867D8A9" w14:textId="77777777" w:rsidTr="00CA5C04">
        <w:tc>
          <w:tcPr>
            <w:tcW w:w="2269" w:type="dxa"/>
          </w:tcPr>
          <w:p w14:paraId="2931FE37" w14:textId="77777777" w:rsidR="005D4B5B" w:rsidRDefault="005D4B5B" w:rsidP="00CA5C04">
            <w:pPr>
              <w:jc w:val="center"/>
            </w:pPr>
          </w:p>
          <w:p w14:paraId="36F351B3" w14:textId="7903FDF1" w:rsidR="00DC1D35" w:rsidRDefault="00DC1D35" w:rsidP="00CA5C04">
            <w:pPr>
              <w:jc w:val="center"/>
            </w:pPr>
          </w:p>
        </w:tc>
        <w:tc>
          <w:tcPr>
            <w:tcW w:w="2739" w:type="dxa"/>
          </w:tcPr>
          <w:p w14:paraId="25768DC8" w14:textId="77777777" w:rsidR="005D4B5B" w:rsidRDefault="005D4B5B" w:rsidP="00CA5C04">
            <w:pPr>
              <w:jc w:val="center"/>
            </w:pPr>
          </w:p>
        </w:tc>
        <w:tc>
          <w:tcPr>
            <w:tcW w:w="1938" w:type="dxa"/>
          </w:tcPr>
          <w:p w14:paraId="2F921260" w14:textId="49463546" w:rsidR="005D4B5B" w:rsidRDefault="005D4B5B" w:rsidP="00CA5C04">
            <w:pPr>
              <w:jc w:val="center"/>
            </w:pPr>
          </w:p>
        </w:tc>
        <w:tc>
          <w:tcPr>
            <w:tcW w:w="4395" w:type="dxa"/>
          </w:tcPr>
          <w:p w14:paraId="11D7B842" w14:textId="77777777" w:rsidR="005D4B5B" w:rsidRDefault="005D4B5B" w:rsidP="00CA5C04">
            <w:pPr>
              <w:jc w:val="center"/>
            </w:pPr>
          </w:p>
        </w:tc>
        <w:tc>
          <w:tcPr>
            <w:tcW w:w="4536" w:type="dxa"/>
          </w:tcPr>
          <w:p w14:paraId="1BC4651D" w14:textId="77777777" w:rsidR="005D4B5B" w:rsidRDefault="005D4B5B" w:rsidP="00CA5C04">
            <w:pPr>
              <w:jc w:val="center"/>
            </w:pPr>
          </w:p>
        </w:tc>
      </w:tr>
      <w:tr w:rsidR="005D4B5B" w14:paraId="7AA49541" w14:textId="77777777" w:rsidTr="00CA5C04">
        <w:tc>
          <w:tcPr>
            <w:tcW w:w="2269" w:type="dxa"/>
          </w:tcPr>
          <w:p w14:paraId="50BF0FBE" w14:textId="77777777" w:rsidR="005D4B5B" w:rsidRDefault="005D4B5B" w:rsidP="00CA5C04">
            <w:pPr>
              <w:jc w:val="center"/>
            </w:pPr>
          </w:p>
          <w:p w14:paraId="22EF9E0B" w14:textId="7DF23A9A" w:rsidR="00DC1D35" w:rsidRDefault="00DC1D35" w:rsidP="00CA5C04">
            <w:pPr>
              <w:jc w:val="center"/>
            </w:pPr>
          </w:p>
        </w:tc>
        <w:tc>
          <w:tcPr>
            <w:tcW w:w="2739" w:type="dxa"/>
          </w:tcPr>
          <w:p w14:paraId="70949A5E" w14:textId="77777777" w:rsidR="005D4B5B" w:rsidRDefault="005D4B5B" w:rsidP="00CA5C04">
            <w:pPr>
              <w:jc w:val="center"/>
            </w:pPr>
          </w:p>
        </w:tc>
        <w:tc>
          <w:tcPr>
            <w:tcW w:w="1938" w:type="dxa"/>
          </w:tcPr>
          <w:p w14:paraId="5D8ECCE2" w14:textId="27974090" w:rsidR="005D4B5B" w:rsidRDefault="005D4B5B" w:rsidP="00CA5C04">
            <w:pPr>
              <w:jc w:val="center"/>
            </w:pPr>
          </w:p>
        </w:tc>
        <w:tc>
          <w:tcPr>
            <w:tcW w:w="4395" w:type="dxa"/>
          </w:tcPr>
          <w:p w14:paraId="4A56DF7B" w14:textId="77777777" w:rsidR="005D4B5B" w:rsidRDefault="005D4B5B" w:rsidP="00CA5C04">
            <w:pPr>
              <w:jc w:val="center"/>
            </w:pPr>
          </w:p>
        </w:tc>
        <w:tc>
          <w:tcPr>
            <w:tcW w:w="4536" w:type="dxa"/>
          </w:tcPr>
          <w:p w14:paraId="01C84250" w14:textId="77777777" w:rsidR="005D4B5B" w:rsidRDefault="005D4B5B" w:rsidP="00CA5C04">
            <w:pPr>
              <w:jc w:val="center"/>
            </w:pPr>
          </w:p>
        </w:tc>
      </w:tr>
      <w:tr w:rsidR="005D4B5B" w14:paraId="6F3573C8" w14:textId="77777777" w:rsidTr="00CA5C04">
        <w:tc>
          <w:tcPr>
            <w:tcW w:w="2269" w:type="dxa"/>
          </w:tcPr>
          <w:p w14:paraId="432FE167" w14:textId="77777777" w:rsidR="005D4B5B" w:rsidRDefault="005D4B5B" w:rsidP="00CA5C04">
            <w:pPr>
              <w:jc w:val="center"/>
            </w:pPr>
          </w:p>
          <w:p w14:paraId="16FEE68A" w14:textId="4CCBD825" w:rsidR="00DC1D35" w:rsidRDefault="00DC1D35" w:rsidP="00CA5C04">
            <w:pPr>
              <w:jc w:val="center"/>
            </w:pPr>
          </w:p>
        </w:tc>
        <w:tc>
          <w:tcPr>
            <w:tcW w:w="2739" w:type="dxa"/>
          </w:tcPr>
          <w:p w14:paraId="62D6E80D" w14:textId="77777777" w:rsidR="005D4B5B" w:rsidRDefault="005D4B5B" w:rsidP="00CA5C04">
            <w:pPr>
              <w:jc w:val="center"/>
            </w:pPr>
          </w:p>
        </w:tc>
        <w:tc>
          <w:tcPr>
            <w:tcW w:w="1938" w:type="dxa"/>
          </w:tcPr>
          <w:p w14:paraId="4BDEF35B" w14:textId="289B2493" w:rsidR="005D4B5B" w:rsidRDefault="005D4B5B" w:rsidP="00CA5C04">
            <w:pPr>
              <w:jc w:val="center"/>
            </w:pPr>
          </w:p>
        </w:tc>
        <w:tc>
          <w:tcPr>
            <w:tcW w:w="4395" w:type="dxa"/>
          </w:tcPr>
          <w:p w14:paraId="432ABEE1" w14:textId="77777777" w:rsidR="005D4B5B" w:rsidRDefault="005D4B5B" w:rsidP="00CA5C04">
            <w:pPr>
              <w:jc w:val="center"/>
            </w:pPr>
          </w:p>
        </w:tc>
        <w:tc>
          <w:tcPr>
            <w:tcW w:w="4536" w:type="dxa"/>
          </w:tcPr>
          <w:p w14:paraId="59E988E4" w14:textId="77777777" w:rsidR="005D4B5B" w:rsidRDefault="005D4B5B" w:rsidP="00CA5C04">
            <w:pPr>
              <w:jc w:val="center"/>
            </w:pPr>
          </w:p>
        </w:tc>
      </w:tr>
      <w:tr w:rsidR="005D4B5B" w14:paraId="24619164" w14:textId="77777777" w:rsidTr="00CA5C04">
        <w:tc>
          <w:tcPr>
            <w:tcW w:w="2269" w:type="dxa"/>
          </w:tcPr>
          <w:p w14:paraId="1EA03265" w14:textId="77777777" w:rsidR="005D4B5B" w:rsidRDefault="005D4B5B" w:rsidP="00CA5C04">
            <w:pPr>
              <w:jc w:val="center"/>
            </w:pPr>
          </w:p>
          <w:p w14:paraId="70A7C181" w14:textId="1EE6FDB8" w:rsidR="00DC1D35" w:rsidRDefault="00DC1D35" w:rsidP="00CA5C04">
            <w:pPr>
              <w:jc w:val="center"/>
            </w:pPr>
          </w:p>
        </w:tc>
        <w:tc>
          <w:tcPr>
            <w:tcW w:w="2739" w:type="dxa"/>
          </w:tcPr>
          <w:p w14:paraId="56AA6760" w14:textId="77777777" w:rsidR="005D4B5B" w:rsidRDefault="005D4B5B" w:rsidP="00CA5C04">
            <w:pPr>
              <w:jc w:val="center"/>
            </w:pPr>
          </w:p>
        </w:tc>
        <w:tc>
          <w:tcPr>
            <w:tcW w:w="1938" w:type="dxa"/>
          </w:tcPr>
          <w:p w14:paraId="6EB769D2" w14:textId="799B521F" w:rsidR="005D4B5B" w:rsidRDefault="005D4B5B" w:rsidP="00CA5C04">
            <w:pPr>
              <w:jc w:val="center"/>
            </w:pPr>
          </w:p>
        </w:tc>
        <w:tc>
          <w:tcPr>
            <w:tcW w:w="4395" w:type="dxa"/>
          </w:tcPr>
          <w:p w14:paraId="0D639627" w14:textId="77777777" w:rsidR="005D4B5B" w:rsidRDefault="005D4B5B" w:rsidP="00CA5C04">
            <w:pPr>
              <w:jc w:val="center"/>
            </w:pPr>
          </w:p>
        </w:tc>
        <w:tc>
          <w:tcPr>
            <w:tcW w:w="4536" w:type="dxa"/>
          </w:tcPr>
          <w:p w14:paraId="40840932" w14:textId="77777777" w:rsidR="005D4B5B" w:rsidRDefault="005D4B5B" w:rsidP="00CA5C04">
            <w:pPr>
              <w:jc w:val="center"/>
            </w:pPr>
          </w:p>
        </w:tc>
      </w:tr>
      <w:tr w:rsidR="005D4B5B" w14:paraId="68DAB6C3" w14:textId="77777777" w:rsidTr="00CA5C04">
        <w:tc>
          <w:tcPr>
            <w:tcW w:w="2269" w:type="dxa"/>
          </w:tcPr>
          <w:p w14:paraId="35FE33C6" w14:textId="77777777" w:rsidR="005D4B5B" w:rsidRDefault="005D4B5B" w:rsidP="00CA5C04">
            <w:pPr>
              <w:jc w:val="center"/>
            </w:pPr>
          </w:p>
          <w:p w14:paraId="65E13FDA" w14:textId="02BA092A" w:rsidR="00DC1D35" w:rsidRDefault="00DC1D35" w:rsidP="00CA5C04">
            <w:pPr>
              <w:jc w:val="center"/>
            </w:pPr>
          </w:p>
        </w:tc>
        <w:tc>
          <w:tcPr>
            <w:tcW w:w="2739" w:type="dxa"/>
          </w:tcPr>
          <w:p w14:paraId="55BD741F" w14:textId="77777777" w:rsidR="005D4B5B" w:rsidRDefault="005D4B5B" w:rsidP="00CA5C04">
            <w:pPr>
              <w:jc w:val="center"/>
            </w:pPr>
          </w:p>
        </w:tc>
        <w:tc>
          <w:tcPr>
            <w:tcW w:w="1938" w:type="dxa"/>
          </w:tcPr>
          <w:p w14:paraId="0D5B77EC" w14:textId="6F7E277A" w:rsidR="005D4B5B" w:rsidRDefault="005D4B5B" w:rsidP="00CA5C04">
            <w:pPr>
              <w:jc w:val="center"/>
            </w:pPr>
          </w:p>
        </w:tc>
        <w:tc>
          <w:tcPr>
            <w:tcW w:w="4395" w:type="dxa"/>
          </w:tcPr>
          <w:p w14:paraId="09145787" w14:textId="77777777" w:rsidR="005D4B5B" w:rsidRDefault="005D4B5B" w:rsidP="00CA5C04">
            <w:pPr>
              <w:jc w:val="center"/>
            </w:pPr>
          </w:p>
        </w:tc>
        <w:tc>
          <w:tcPr>
            <w:tcW w:w="4536" w:type="dxa"/>
          </w:tcPr>
          <w:p w14:paraId="6C6E91C2" w14:textId="77777777" w:rsidR="005D4B5B" w:rsidRDefault="005D4B5B" w:rsidP="00CA5C04">
            <w:pPr>
              <w:jc w:val="center"/>
            </w:pPr>
          </w:p>
        </w:tc>
      </w:tr>
      <w:tr w:rsidR="005D4B5B" w14:paraId="7FFDDB0A" w14:textId="77777777" w:rsidTr="00CA5C04">
        <w:tc>
          <w:tcPr>
            <w:tcW w:w="2269" w:type="dxa"/>
          </w:tcPr>
          <w:p w14:paraId="672783C6" w14:textId="77777777" w:rsidR="005D4B5B" w:rsidRDefault="005D4B5B" w:rsidP="00CA5C04">
            <w:pPr>
              <w:jc w:val="center"/>
            </w:pPr>
          </w:p>
          <w:p w14:paraId="275504BF" w14:textId="74151084" w:rsidR="00DC1D35" w:rsidRDefault="00DC1D35" w:rsidP="00CA5C04">
            <w:pPr>
              <w:jc w:val="center"/>
            </w:pPr>
          </w:p>
        </w:tc>
        <w:tc>
          <w:tcPr>
            <w:tcW w:w="2739" w:type="dxa"/>
          </w:tcPr>
          <w:p w14:paraId="78EE1772" w14:textId="77777777" w:rsidR="005D4B5B" w:rsidRDefault="005D4B5B" w:rsidP="00CA5C04">
            <w:pPr>
              <w:jc w:val="center"/>
            </w:pPr>
          </w:p>
        </w:tc>
        <w:tc>
          <w:tcPr>
            <w:tcW w:w="1938" w:type="dxa"/>
          </w:tcPr>
          <w:p w14:paraId="03A3DA7F" w14:textId="6182FB43" w:rsidR="005D4B5B" w:rsidRDefault="005D4B5B" w:rsidP="00CA5C04">
            <w:pPr>
              <w:jc w:val="center"/>
            </w:pPr>
          </w:p>
        </w:tc>
        <w:tc>
          <w:tcPr>
            <w:tcW w:w="4395" w:type="dxa"/>
          </w:tcPr>
          <w:p w14:paraId="4001FC13" w14:textId="77777777" w:rsidR="005D4B5B" w:rsidRDefault="005D4B5B" w:rsidP="00CA5C04">
            <w:pPr>
              <w:jc w:val="center"/>
            </w:pPr>
          </w:p>
        </w:tc>
        <w:tc>
          <w:tcPr>
            <w:tcW w:w="4536" w:type="dxa"/>
          </w:tcPr>
          <w:p w14:paraId="273038C0" w14:textId="77777777" w:rsidR="005D4B5B" w:rsidRDefault="005D4B5B" w:rsidP="00CA5C04">
            <w:pPr>
              <w:jc w:val="center"/>
            </w:pPr>
          </w:p>
        </w:tc>
      </w:tr>
      <w:tr w:rsidR="005D4B5B" w14:paraId="4009CCB9" w14:textId="77777777" w:rsidTr="00CA5C04">
        <w:tc>
          <w:tcPr>
            <w:tcW w:w="2269" w:type="dxa"/>
          </w:tcPr>
          <w:p w14:paraId="324AE9E4" w14:textId="77777777" w:rsidR="005D4B5B" w:rsidRDefault="005D4B5B" w:rsidP="00CA5C04">
            <w:pPr>
              <w:jc w:val="center"/>
            </w:pPr>
          </w:p>
          <w:p w14:paraId="48C8FECD" w14:textId="71F72B74" w:rsidR="00DC1D35" w:rsidRDefault="00DC1D35" w:rsidP="00CA5C04">
            <w:pPr>
              <w:jc w:val="center"/>
            </w:pPr>
          </w:p>
        </w:tc>
        <w:tc>
          <w:tcPr>
            <w:tcW w:w="2739" w:type="dxa"/>
          </w:tcPr>
          <w:p w14:paraId="593FD72D" w14:textId="77777777" w:rsidR="005D4B5B" w:rsidRDefault="005D4B5B" w:rsidP="00CA5C04">
            <w:pPr>
              <w:jc w:val="center"/>
            </w:pPr>
          </w:p>
        </w:tc>
        <w:tc>
          <w:tcPr>
            <w:tcW w:w="1938" w:type="dxa"/>
          </w:tcPr>
          <w:p w14:paraId="61E3D52A" w14:textId="64BA46ED" w:rsidR="005D4B5B" w:rsidRDefault="005D4B5B" w:rsidP="00CA5C04">
            <w:pPr>
              <w:jc w:val="center"/>
            </w:pPr>
          </w:p>
        </w:tc>
        <w:tc>
          <w:tcPr>
            <w:tcW w:w="4395" w:type="dxa"/>
          </w:tcPr>
          <w:p w14:paraId="7C758C2A" w14:textId="77777777" w:rsidR="005D4B5B" w:rsidRDefault="005D4B5B" w:rsidP="00CA5C04">
            <w:pPr>
              <w:jc w:val="center"/>
            </w:pPr>
          </w:p>
        </w:tc>
        <w:tc>
          <w:tcPr>
            <w:tcW w:w="4536" w:type="dxa"/>
          </w:tcPr>
          <w:p w14:paraId="448F1447" w14:textId="77777777" w:rsidR="005D4B5B" w:rsidRDefault="005D4B5B" w:rsidP="00CA5C04">
            <w:pPr>
              <w:jc w:val="center"/>
            </w:pPr>
          </w:p>
        </w:tc>
      </w:tr>
    </w:tbl>
    <w:p w14:paraId="13A972B6" w14:textId="77777777" w:rsidR="006B4A83" w:rsidRPr="006B4A83" w:rsidRDefault="006B4A83" w:rsidP="009A477B">
      <w:pPr>
        <w:rPr>
          <w:lang w:val="en-US"/>
        </w:rPr>
      </w:pPr>
    </w:p>
    <w:sectPr w:rsidR="006B4A83" w:rsidRPr="006B4A83" w:rsidSect="00FA01F7">
      <w:headerReference w:type="default" r:id="rId10"/>
      <w:footerReference w:type="default" r:id="rId11"/>
      <w:pgSz w:w="16838" w:h="11906" w:orient="landscape"/>
      <w:pgMar w:top="2992" w:right="1440" w:bottom="1440" w:left="1440" w:header="993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0D4F" w14:textId="77777777" w:rsidR="000A07E1" w:rsidRDefault="000A07E1" w:rsidP="006B4A83">
      <w:pPr>
        <w:spacing w:after="0" w:line="240" w:lineRule="auto"/>
      </w:pPr>
      <w:r>
        <w:separator/>
      </w:r>
    </w:p>
  </w:endnote>
  <w:endnote w:type="continuationSeparator" w:id="0">
    <w:p w14:paraId="5F848AF0" w14:textId="77777777" w:rsidR="000A07E1" w:rsidRDefault="000A07E1" w:rsidP="006B4A83">
      <w:pPr>
        <w:spacing w:after="0" w:line="240" w:lineRule="auto"/>
      </w:pPr>
      <w:r>
        <w:continuationSeparator/>
      </w:r>
    </w:p>
  </w:endnote>
  <w:endnote w:type="continuationNotice" w:id="1">
    <w:p w14:paraId="0CA7C3DA" w14:textId="77777777" w:rsidR="000A07E1" w:rsidRDefault="000A0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0859" w14:textId="3D28C074" w:rsidR="00D13E2A" w:rsidRDefault="009A477B" w:rsidP="009A477B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3DE7" w14:textId="77777777" w:rsidR="000A07E1" w:rsidRDefault="000A07E1" w:rsidP="006B4A83">
      <w:pPr>
        <w:spacing w:after="0" w:line="240" w:lineRule="auto"/>
      </w:pPr>
      <w:r>
        <w:separator/>
      </w:r>
    </w:p>
  </w:footnote>
  <w:footnote w:type="continuationSeparator" w:id="0">
    <w:p w14:paraId="6C5E63C3" w14:textId="77777777" w:rsidR="000A07E1" w:rsidRDefault="000A07E1" w:rsidP="006B4A83">
      <w:pPr>
        <w:spacing w:after="0" w:line="240" w:lineRule="auto"/>
      </w:pPr>
      <w:r>
        <w:continuationSeparator/>
      </w:r>
    </w:p>
  </w:footnote>
  <w:footnote w:type="continuationNotice" w:id="1">
    <w:p w14:paraId="5E9B1880" w14:textId="77777777" w:rsidR="000A07E1" w:rsidRDefault="000A07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4F44" w14:textId="58B564FE" w:rsidR="00222820" w:rsidRDefault="00222820">
    <w:pPr>
      <w:pStyle w:val="Header"/>
    </w:pPr>
    <w:r w:rsidRPr="00222820">
      <w:rPr>
        <w:rFonts w:eastAsiaTheme="minorEastAsia"/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F3820C" wp14:editId="7D0101EF">
              <wp:simplePos x="0" y="0"/>
              <wp:positionH relativeFrom="column">
                <wp:posOffset>-523875</wp:posOffset>
              </wp:positionH>
              <wp:positionV relativeFrom="paragraph">
                <wp:posOffset>-306706</wp:posOffset>
              </wp:positionV>
              <wp:extent cx="10182859" cy="2158999"/>
              <wp:effectExtent l="0" t="0" r="28575" b="133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2859" cy="21589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16110" w14:textId="6BE224A9" w:rsidR="00222820" w:rsidRDefault="00222820" w:rsidP="0022282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86696"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  <w:t>RECORD OF CLOSE CONTACT</w:t>
                          </w:r>
                          <w:r w:rsidR="000350F0" w:rsidRPr="000350F0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126A1C8" w14:textId="77777777" w:rsidR="005B6477" w:rsidRPr="00A70AE4" w:rsidRDefault="005B6477" w:rsidP="00A70AE4">
                          <w:pPr>
                            <w:numPr>
                              <w:ilvl w:val="0"/>
                              <w:numId w:val="1"/>
                            </w:numPr>
                            <w:spacing w:after="0" w:line="300" w:lineRule="auto"/>
                            <w:rPr>
                              <w:rFonts w:ascii="Helvetica" w:eastAsia="Times New Roman" w:hAnsi="Helvetica"/>
                              <w:color w:val="202020"/>
                              <w:sz w:val="18"/>
                              <w:szCs w:val="18"/>
                            </w:rPr>
                          </w:pPr>
                          <w:r w:rsidRPr="00A70AE4">
                            <w:rPr>
                              <w:rFonts w:ascii="Verdana" w:eastAsia="Times New Roman" w:hAnsi="Verdana" w:cs="Helvetica"/>
                              <w:color w:val="202020"/>
                              <w:sz w:val="18"/>
                              <w:szCs w:val="18"/>
                            </w:rPr>
                            <w:t>the records that are required to be kept are:</w:t>
                          </w:r>
                          <w:r w:rsidRPr="00A70AE4">
                            <w:rPr>
                              <w:rFonts w:ascii="Helvetica" w:eastAsia="Times New Roman" w:hAnsi="Helvetica"/>
                              <w:color w:val="20202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219302D" w14:textId="77777777" w:rsidR="005B6477" w:rsidRPr="00A70AE4" w:rsidRDefault="005B6477" w:rsidP="00A70AE4">
                          <w:pPr>
                            <w:numPr>
                              <w:ilvl w:val="1"/>
                              <w:numId w:val="1"/>
                            </w:numPr>
                            <w:spacing w:after="0" w:line="300" w:lineRule="auto"/>
                            <w:rPr>
                              <w:rFonts w:ascii="Helvetica" w:eastAsia="Times New Roman" w:hAnsi="Helvetica"/>
                              <w:color w:val="202020"/>
                              <w:sz w:val="18"/>
                              <w:szCs w:val="18"/>
                            </w:rPr>
                          </w:pPr>
                          <w:r w:rsidRPr="00A70AE4">
                            <w:rPr>
                              <w:rFonts w:ascii="Verdana" w:eastAsia="Times New Roman" w:hAnsi="Verdana" w:cs="Helvetica"/>
                              <w:color w:val="202020"/>
                              <w:sz w:val="18"/>
                              <w:szCs w:val="18"/>
                            </w:rPr>
                            <w:t xml:space="preserve">the name and phone number and email address of the close contact and the day, </w:t>
                          </w:r>
                          <w:proofErr w:type="gramStart"/>
                          <w:r w:rsidRPr="00A70AE4">
                            <w:rPr>
                              <w:rFonts w:ascii="Verdana" w:eastAsia="Times New Roman" w:hAnsi="Verdana" w:cs="Helvetica"/>
                              <w:color w:val="202020"/>
                              <w:sz w:val="18"/>
                              <w:szCs w:val="18"/>
                            </w:rPr>
                            <w:t>time</w:t>
                          </w:r>
                          <w:proofErr w:type="gramEnd"/>
                          <w:r w:rsidRPr="00A70AE4">
                            <w:rPr>
                              <w:rFonts w:ascii="Verdana" w:eastAsia="Times New Roman" w:hAnsi="Verdana" w:cs="Helvetica"/>
                              <w:color w:val="202020"/>
                              <w:sz w:val="18"/>
                              <w:szCs w:val="18"/>
                            </w:rPr>
                            <w:t xml:space="preserve"> and location at which the close contact occurred; or</w:t>
                          </w:r>
                        </w:p>
                        <w:p w14:paraId="17271121" w14:textId="77777777" w:rsidR="00A70AE4" w:rsidRDefault="005B6477" w:rsidP="00A70AE4">
                          <w:pPr>
                            <w:numPr>
                              <w:ilvl w:val="1"/>
                              <w:numId w:val="1"/>
                            </w:numPr>
                            <w:spacing w:after="0" w:line="300" w:lineRule="auto"/>
                            <w:rPr>
                              <w:rFonts w:ascii="Helvetica" w:eastAsia="Times New Roman" w:hAnsi="Helvetica"/>
                              <w:color w:val="202020"/>
                              <w:sz w:val="20"/>
                              <w:szCs w:val="20"/>
                            </w:rPr>
                          </w:pPr>
                          <w:r w:rsidRPr="00A70AE4">
                            <w:rPr>
                              <w:rFonts w:ascii="Verdana" w:eastAsia="Times New Roman" w:hAnsi="Verdana" w:cs="Helvetica"/>
                              <w:color w:val="202020"/>
                              <w:sz w:val="20"/>
                              <w:szCs w:val="20"/>
                            </w:rPr>
                            <w:t xml:space="preserve">if the name and phone number or email address are not known or it is not reasonably practicable to obtain them, the day, </w:t>
                          </w:r>
                          <w:proofErr w:type="gramStart"/>
                          <w:r w:rsidRPr="00A70AE4">
                            <w:rPr>
                              <w:rFonts w:ascii="Verdana" w:eastAsia="Times New Roman" w:hAnsi="Verdana" w:cs="Helvetica"/>
                              <w:color w:val="202020"/>
                              <w:sz w:val="20"/>
                              <w:szCs w:val="20"/>
                            </w:rPr>
                            <w:t>time</w:t>
                          </w:r>
                          <w:proofErr w:type="gramEnd"/>
                          <w:r w:rsidRPr="00A70AE4">
                            <w:rPr>
                              <w:rFonts w:ascii="Verdana" w:eastAsia="Times New Roman" w:hAnsi="Verdana" w:cs="Helvetica"/>
                              <w:color w:val="202020"/>
                              <w:sz w:val="20"/>
                              <w:szCs w:val="20"/>
                            </w:rPr>
                            <w:t xml:space="preserve"> and location at which the close contact occurred.</w:t>
                          </w:r>
                        </w:p>
                        <w:p w14:paraId="5B2D12CF" w14:textId="77777777" w:rsidR="00A70AE4" w:rsidRPr="00A70AE4" w:rsidRDefault="00A70AE4" w:rsidP="00A70AE4">
                          <w:pPr>
                            <w:numPr>
                              <w:ilvl w:val="0"/>
                              <w:numId w:val="1"/>
                            </w:numPr>
                            <w:spacing w:after="0" w:line="300" w:lineRule="auto"/>
                            <w:rPr>
                              <w:rStyle w:val="Emphasis"/>
                              <w:rFonts w:ascii="Helvetica" w:eastAsia="Times New Roman" w:hAnsi="Helvetica"/>
                              <w:i w:val="0"/>
                              <w:iCs w:val="0"/>
                              <w:color w:val="202020"/>
                              <w:sz w:val="20"/>
                              <w:szCs w:val="20"/>
                            </w:rPr>
                          </w:pPr>
                          <w:r w:rsidRPr="00A70AE4">
                            <w:rPr>
                              <w:rStyle w:val="Strong"/>
                              <w:rFonts w:ascii="Verdana" w:hAnsi="Verdana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Close contact</w:t>
                          </w:r>
                          <w:r w:rsidRPr="00A70AE4">
                            <w:rPr>
                              <w:rStyle w:val="Emphasis"/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 of a person is another person with whom they were:</w:t>
                          </w:r>
                          <w:r w:rsidRPr="00A70AE4">
                            <w:rPr>
                              <w:rStyle w:val="Emphasis"/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FB5EAE4" w14:textId="77777777" w:rsidR="00A70AE4" w:rsidRDefault="00A70AE4" w:rsidP="00A70AE4">
                          <w:pPr>
                            <w:numPr>
                              <w:ilvl w:val="1"/>
                              <w:numId w:val="2"/>
                            </w:numPr>
                            <w:shd w:val="clear" w:color="auto" w:fill="FFFFFF"/>
                            <w:spacing w:after="0" w:line="300" w:lineRule="auto"/>
                            <w:rPr>
                              <w:rStyle w:val="Emphasis"/>
                              <w:rFonts w:ascii="Verdana" w:hAnsi="Verdana"/>
                              <w:i w:val="0"/>
                              <w:iCs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A70AE4">
                            <w:rPr>
                              <w:rStyle w:val="Emphasis"/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within an enclosed space for a period of 2 hours or longer; or</w:t>
                          </w:r>
                          <w:r>
                            <w:rPr>
                              <w:rStyle w:val="Emphasis"/>
                              <w:rFonts w:ascii="Verdana" w:hAnsi="Verdana"/>
                              <w:i w:val="0"/>
                              <w:iCs w:val="0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D9207C9" w14:textId="078A91D2" w:rsidR="00A70AE4" w:rsidRPr="00484C97" w:rsidRDefault="00A70AE4" w:rsidP="00A70AE4">
                          <w:pPr>
                            <w:numPr>
                              <w:ilvl w:val="1"/>
                              <w:numId w:val="2"/>
                            </w:numPr>
                            <w:shd w:val="clear" w:color="auto" w:fill="FFFFFF"/>
                            <w:spacing w:after="0" w:line="300" w:lineRule="auto"/>
                            <w:rPr>
                              <w:rStyle w:val="Emphasis"/>
                              <w:rFonts w:ascii="Verdana" w:hAnsi="Verdana"/>
                              <w:i w:val="0"/>
                              <w:iCs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A70AE4">
                            <w:rPr>
                              <w:rStyle w:val="Emphasis"/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within 1.5 metres of the other person for a period of 15 minutes or longer.</w:t>
                          </w:r>
                        </w:p>
                        <w:p w14:paraId="6A08D7CA" w14:textId="77777777" w:rsidR="00484C97" w:rsidRPr="00484C97" w:rsidRDefault="00484C97" w:rsidP="00484C97">
                          <w:pPr>
                            <w:shd w:val="clear" w:color="auto" w:fill="FFFFFF"/>
                            <w:spacing w:after="0" w:line="300" w:lineRule="auto"/>
                            <w:ind w:left="1364"/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3E91D677" w14:textId="085F8265" w:rsidR="00D60500" w:rsidRPr="00484C97" w:rsidRDefault="00D60500" w:rsidP="00A70AE4">
                          <w:pPr>
                            <w:spacing w:after="0" w:line="300" w:lineRule="auto"/>
                            <w:rPr>
                              <w:rFonts w:ascii="Verdana" w:eastAsia="Times New Roman" w:hAnsi="Verdana"/>
                              <w:color w:val="202020"/>
                              <w:sz w:val="18"/>
                              <w:szCs w:val="18"/>
                            </w:rPr>
                          </w:pPr>
                          <w:r w:rsidRPr="00484C97">
                            <w:rPr>
                              <w:rFonts w:ascii="Verdana" w:eastAsia="Times New Roman" w:hAnsi="Verdana"/>
                              <w:color w:val="202020"/>
                              <w:sz w:val="18"/>
                              <w:szCs w:val="18"/>
                            </w:rPr>
                            <w:t xml:space="preserve">Refer to: </w:t>
                          </w:r>
                          <w:hyperlink r:id="rId1" w:history="1">
                            <w:r w:rsidRPr="00484C97">
                              <w:rPr>
                                <w:rStyle w:val="Hyperlink"/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https://www.health.qld.gov.au/system-governance/legislation/cho-public-health-directions-under-expanded-public-health-act-powers/border-restrictions/freight-services-protocol</w:t>
                            </w:r>
                          </w:hyperlink>
                        </w:p>
                        <w:p w14:paraId="0EDA9500" w14:textId="7E05C635" w:rsidR="004532F9" w:rsidRPr="004532F9" w:rsidRDefault="00D60500" w:rsidP="00D60500">
                          <w:pPr>
                            <w:spacing w:after="100" w:afterAutospacing="1" w:line="300" w:lineRule="auto"/>
                            <w:rPr>
                              <w:rFonts w:ascii="Helvetica" w:eastAsia="Times New Roman" w:hAnsi="Helvetica"/>
                              <w:color w:val="202020"/>
                              <w:sz w:val="20"/>
                              <w:szCs w:val="20"/>
                            </w:rPr>
                          </w:pPr>
                          <w:r w:rsidRPr="004532F9">
                            <w:rPr>
                              <w:rFonts w:ascii="Helvetica" w:eastAsia="Times New Roman" w:hAnsi="Helvetica"/>
                              <w:color w:val="2020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4CFFDD" w14:textId="77777777" w:rsidR="00831EBB" w:rsidRPr="00370744" w:rsidRDefault="00831EBB" w:rsidP="00831EBB">
                          <w:pPr>
                            <w:spacing w:after="100" w:afterAutospacing="1" w:line="300" w:lineRule="auto"/>
                            <w:ind w:left="2160"/>
                            <w:rPr>
                              <w:rFonts w:ascii="Helvetica" w:eastAsia="Times New Roman" w:hAnsi="Helvetica"/>
                              <w:color w:val="202020"/>
                              <w:sz w:val="14"/>
                              <w:szCs w:val="14"/>
                            </w:rPr>
                          </w:pPr>
                        </w:p>
                        <w:p w14:paraId="39BDAD66" w14:textId="452D32BC" w:rsidR="000350F0" w:rsidRDefault="000350F0" w:rsidP="0022282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  <w:p w14:paraId="72003D52" w14:textId="0E3D69A1" w:rsidR="004532F9" w:rsidRDefault="004532F9" w:rsidP="0022282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  <w:p w14:paraId="6509FC42" w14:textId="77777777" w:rsidR="004532F9" w:rsidRDefault="004532F9" w:rsidP="0022282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  <w:p w14:paraId="4A15414F" w14:textId="77777777" w:rsidR="004422C3" w:rsidRDefault="004422C3" w:rsidP="004422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*</w:t>
                          </w:r>
                          <w:r w:rsidRPr="004422C3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These records must be retained and if requested, be produced to an </w:t>
                          </w:r>
                          <w:proofErr w:type="spellStart"/>
                          <w:r w:rsidRPr="004422C3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Authorised</w:t>
                          </w:r>
                          <w:proofErr w:type="spellEnd"/>
                          <w:r w:rsidRPr="004422C3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Officer </w:t>
                          </w:r>
                        </w:p>
                        <w:p w14:paraId="2C774AC5" w14:textId="77777777" w:rsidR="004422C3" w:rsidRPr="004422C3" w:rsidRDefault="004422C3" w:rsidP="004422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4422C3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as proof of compliance with Directions issued pursuant to th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e Emergency Management Act, 2004.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382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25pt;margin-top:-24.15pt;width:801.8pt;height:1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">
              <v:textbox>
                <w:txbxContent>
                  <w:p w14:paraId="00A16110" w14:textId="6BE224A9" w:rsidR="00222820" w:rsidRDefault="00222820" w:rsidP="00222820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86696">
                      <w:rPr>
                        <w:b/>
                        <w:sz w:val="36"/>
                        <w:szCs w:val="36"/>
                        <w:lang w:val="en-US"/>
                      </w:rPr>
                      <w:t>RECORD OF CLOSE CONTACT</w:t>
                    </w:r>
                    <w:r w:rsidR="000350F0" w:rsidRPr="000350F0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0126A1C8" w14:textId="77777777" w:rsidR="005B6477" w:rsidRPr="00A70AE4" w:rsidRDefault="005B6477" w:rsidP="00A70AE4">
                    <w:pPr>
                      <w:numPr>
                        <w:ilvl w:val="0"/>
                        <w:numId w:val="1"/>
                      </w:numPr>
                      <w:spacing w:after="0" w:line="300" w:lineRule="auto"/>
                      <w:rPr>
                        <w:rFonts w:ascii="Helvetica" w:eastAsia="Times New Roman" w:hAnsi="Helvetica"/>
                        <w:color w:val="202020"/>
                        <w:sz w:val="18"/>
                        <w:szCs w:val="18"/>
                      </w:rPr>
                    </w:pPr>
                    <w:r w:rsidRPr="00A70AE4">
                      <w:rPr>
                        <w:rFonts w:ascii="Verdana" w:eastAsia="Times New Roman" w:hAnsi="Verdana" w:cs="Helvetica"/>
                        <w:color w:val="202020"/>
                        <w:sz w:val="18"/>
                        <w:szCs w:val="18"/>
                      </w:rPr>
                      <w:t>the records that are required to be kept are:</w:t>
                    </w:r>
                    <w:r w:rsidRPr="00A70AE4">
                      <w:rPr>
                        <w:rFonts w:ascii="Helvetica" w:eastAsia="Times New Roman" w:hAnsi="Helvetica"/>
                        <w:color w:val="202020"/>
                        <w:sz w:val="18"/>
                        <w:szCs w:val="18"/>
                      </w:rPr>
                      <w:t xml:space="preserve"> </w:t>
                    </w:r>
                  </w:p>
                  <w:p w14:paraId="4219302D" w14:textId="77777777" w:rsidR="005B6477" w:rsidRPr="00A70AE4" w:rsidRDefault="005B6477" w:rsidP="00A70AE4">
                    <w:pPr>
                      <w:numPr>
                        <w:ilvl w:val="1"/>
                        <w:numId w:val="1"/>
                      </w:numPr>
                      <w:spacing w:after="0" w:line="300" w:lineRule="auto"/>
                      <w:rPr>
                        <w:rFonts w:ascii="Helvetica" w:eastAsia="Times New Roman" w:hAnsi="Helvetica"/>
                        <w:color w:val="202020"/>
                        <w:sz w:val="18"/>
                        <w:szCs w:val="18"/>
                      </w:rPr>
                    </w:pPr>
                    <w:r w:rsidRPr="00A70AE4">
                      <w:rPr>
                        <w:rFonts w:ascii="Verdana" w:eastAsia="Times New Roman" w:hAnsi="Verdana" w:cs="Helvetica"/>
                        <w:color w:val="202020"/>
                        <w:sz w:val="18"/>
                        <w:szCs w:val="18"/>
                      </w:rPr>
                      <w:t xml:space="preserve">the name and phone number and email address of the close contact and the day, </w:t>
                    </w:r>
                    <w:proofErr w:type="gramStart"/>
                    <w:r w:rsidRPr="00A70AE4">
                      <w:rPr>
                        <w:rFonts w:ascii="Verdana" w:eastAsia="Times New Roman" w:hAnsi="Verdana" w:cs="Helvetica"/>
                        <w:color w:val="202020"/>
                        <w:sz w:val="18"/>
                        <w:szCs w:val="18"/>
                      </w:rPr>
                      <w:t>time</w:t>
                    </w:r>
                    <w:proofErr w:type="gramEnd"/>
                    <w:r w:rsidRPr="00A70AE4">
                      <w:rPr>
                        <w:rFonts w:ascii="Verdana" w:eastAsia="Times New Roman" w:hAnsi="Verdana" w:cs="Helvetica"/>
                        <w:color w:val="202020"/>
                        <w:sz w:val="18"/>
                        <w:szCs w:val="18"/>
                      </w:rPr>
                      <w:t xml:space="preserve"> and location at which the close contact occurred; or</w:t>
                    </w:r>
                  </w:p>
                  <w:p w14:paraId="17271121" w14:textId="77777777" w:rsidR="00A70AE4" w:rsidRDefault="005B6477" w:rsidP="00A70AE4">
                    <w:pPr>
                      <w:numPr>
                        <w:ilvl w:val="1"/>
                        <w:numId w:val="1"/>
                      </w:numPr>
                      <w:spacing w:after="0" w:line="300" w:lineRule="auto"/>
                      <w:rPr>
                        <w:rFonts w:ascii="Helvetica" w:eastAsia="Times New Roman" w:hAnsi="Helvetica"/>
                        <w:color w:val="202020"/>
                        <w:sz w:val="20"/>
                        <w:szCs w:val="20"/>
                      </w:rPr>
                    </w:pPr>
                    <w:r w:rsidRPr="00A70AE4">
                      <w:rPr>
                        <w:rFonts w:ascii="Verdana" w:eastAsia="Times New Roman" w:hAnsi="Verdana" w:cs="Helvetica"/>
                        <w:color w:val="202020"/>
                        <w:sz w:val="20"/>
                        <w:szCs w:val="20"/>
                      </w:rPr>
                      <w:t xml:space="preserve">if the name and phone number or email address are not known or it is not reasonably practicable to obtain them, the day, </w:t>
                    </w:r>
                    <w:proofErr w:type="gramStart"/>
                    <w:r w:rsidRPr="00A70AE4">
                      <w:rPr>
                        <w:rFonts w:ascii="Verdana" w:eastAsia="Times New Roman" w:hAnsi="Verdana" w:cs="Helvetica"/>
                        <w:color w:val="202020"/>
                        <w:sz w:val="20"/>
                        <w:szCs w:val="20"/>
                      </w:rPr>
                      <w:t>time</w:t>
                    </w:r>
                    <w:proofErr w:type="gramEnd"/>
                    <w:r w:rsidRPr="00A70AE4">
                      <w:rPr>
                        <w:rFonts w:ascii="Verdana" w:eastAsia="Times New Roman" w:hAnsi="Verdana" w:cs="Helvetica"/>
                        <w:color w:val="202020"/>
                        <w:sz w:val="20"/>
                        <w:szCs w:val="20"/>
                      </w:rPr>
                      <w:t xml:space="preserve"> and location at which the close contact occurred.</w:t>
                    </w:r>
                  </w:p>
                  <w:p w14:paraId="5B2D12CF" w14:textId="77777777" w:rsidR="00A70AE4" w:rsidRPr="00A70AE4" w:rsidRDefault="00A70AE4" w:rsidP="00A70AE4">
                    <w:pPr>
                      <w:numPr>
                        <w:ilvl w:val="0"/>
                        <w:numId w:val="1"/>
                      </w:numPr>
                      <w:spacing w:after="0" w:line="300" w:lineRule="auto"/>
                      <w:rPr>
                        <w:rStyle w:val="Emphasis"/>
                        <w:rFonts w:ascii="Helvetica" w:eastAsia="Times New Roman" w:hAnsi="Helvetica"/>
                        <w:i w:val="0"/>
                        <w:iCs w:val="0"/>
                        <w:color w:val="202020"/>
                        <w:sz w:val="20"/>
                        <w:szCs w:val="20"/>
                      </w:rPr>
                    </w:pPr>
                    <w:r w:rsidRPr="00A70AE4">
                      <w:rPr>
                        <w:rStyle w:val="Strong"/>
                        <w:rFonts w:ascii="Verdana" w:hAnsi="Verdana"/>
                        <w:i/>
                        <w:iCs/>
                        <w:color w:val="000000"/>
                        <w:sz w:val="18"/>
                        <w:szCs w:val="18"/>
                      </w:rPr>
                      <w:t>Close contact</w:t>
                    </w:r>
                    <w:r w:rsidRPr="00A70AE4">
                      <w:rPr>
                        <w:rStyle w:val="Emphasis"/>
                        <w:rFonts w:ascii="Verdana" w:hAnsi="Verdana"/>
                        <w:color w:val="000000"/>
                        <w:sz w:val="18"/>
                        <w:szCs w:val="18"/>
                      </w:rPr>
                      <w:t> of a person is another person with whom they were:</w:t>
                    </w:r>
                    <w:r w:rsidRPr="00A70AE4">
                      <w:rPr>
                        <w:rStyle w:val="Emphasis"/>
                        <w:rFonts w:ascii="Verdana" w:hAnsi="Verdan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3FB5EAE4" w14:textId="77777777" w:rsidR="00A70AE4" w:rsidRDefault="00A70AE4" w:rsidP="00A70AE4">
                    <w:pPr>
                      <w:numPr>
                        <w:ilvl w:val="1"/>
                        <w:numId w:val="2"/>
                      </w:numPr>
                      <w:shd w:val="clear" w:color="auto" w:fill="FFFFFF"/>
                      <w:spacing w:after="0" w:line="300" w:lineRule="auto"/>
                      <w:rPr>
                        <w:rStyle w:val="Emphasis"/>
                        <w:rFonts w:ascii="Verdana" w:hAnsi="Verdana"/>
                        <w:i w:val="0"/>
                        <w:iCs w:val="0"/>
                        <w:color w:val="000000"/>
                        <w:sz w:val="18"/>
                        <w:szCs w:val="18"/>
                      </w:rPr>
                    </w:pPr>
                    <w:r w:rsidRPr="00A70AE4">
                      <w:rPr>
                        <w:rStyle w:val="Emphasis"/>
                        <w:rFonts w:ascii="Verdana" w:hAnsi="Verdana"/>
                        <w:color w:val="000000"/>
                        <w:sz w:val="18"/>
                        <w:szCs w:val="18"/>
                      </w:rPr>
                      <w:t>within an enclosed space for a period of 2 hours or longer; or</w:t>
                    </w:r>
                    <w:r>
                      <w:rPr>
                        <w:rStyle w:val="Emphasis"/>
                        <w:rFonts w:ascii="Verdana" w:hAnsi="Verdana"/>
                        <w:i w:val="0"/>
                        <w:iCs w:val="0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2D9207C9" w14:textId="078A91D2" w:rsidR="00A70AE4" w:rsidRPr="00484C97" w:rsidRDefault="00A70AE4" w:rsidP="00A70AE4">
                    <w:pPr>
                      <w:numPr>
                        <w:ilvl w:val="1"/>
                        <w:numId w:val="2"/>
                      </w:numPr>
                      <w:shd w:val="clear" w:color="auto" w:fill="FFFFFF"/>
                      <w:spacing w:after="0" w:line="300" w:lineRule="auto"/>
                      <w:rPr>
                        <w:rStyle w:val="Emphasis"/>
                        <w:rFonts w:ascii="Verdana" w:hAnsi="Verdana"/>
                        <w:i w:val="0"/>
                        <w:iCs w:val="0"/>
                        <w:color w:val="000000"/>
                        <w:sz w:val="18"/>
                        <w:szCs w:val="18"/>
                      </w:rPr>
                    </w:pPr>
                    <w:r w:rsidRPr="00A70AE4">
                      <w:rPr>
                        <w:rStyle w:val="Emphasis"/>
                        <w:rFonts w:ascii="Verdana" w:hAnsi="Verdana"/>
                        <w:color w:val="000000"/>
                        <w:sz w:val="18"/>
                        <w:szCs w:val="18"/>
                      </w:rPr>
                      <w:t>within 1.5 metres of the other person for a period of 15 minutes or longer.</w:t>
                    </w:r>
                  </w:p>
                  <w:p w14:paraId="6A08D7CA" w14:textId="77777777" w:rsidR="00484C97" w:rsidRPr="00484C97" w:rsidRDefault="00484C97" w:rsidP="00484C97">
                    <w:pPr>
                      <w:shd w:val="clear" w:color="auto" w:fill="FFFFFF"/>
                      <w:spacing w:after="0" w:line="300" w:lineRule="auto"/>
                      <w:ind w:left="1364"/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</w:pPr>
                  </w:p>
                  <w:p w14:paraId="3E91D677" w14:textId="085F8265" w:rsidR="00D60500" w:rsidRPr="00484C97" w:rsidRDefault="00D60500" w:rsidP="00A70AE4">
                    <w:pPr>
                      <w:spacing w:after="0" w:line="300" w:lineRule="auto"/>
                      <w:rPr>
                        <w:rFonts w:ascii="Verdana" w:eastAsia="Times New Roman" w:hAnsi="Verdana"/>
                        <w:color w:val="202020"/>
                        <w:sz w:val="18"/>
                        <w:szCs w:val="18"/>
                      </w:rPr>
                    </w:pPr>
                    <w:r w:rsidRPr="00484C97">
                      <w:rPr>
                        <w:rFonts w:ascii="Verdana" w:eastAsia="Times New Roman" w:hAnsi="Verdana"/>
                        <w:color w:val="202020"/>
                        <w:sz w:val="18"/>
                        <w:szCs w:val="18"/>
                      </w:rPr>
                      <w:t xml:space="preserve">Refer to: </w:t>
                    </w:r>
                    <w:hyperlink r:id="rId2" w:history="1">
                      <w:r w:rsidRPr="00484C97">
                        <w:rPr>
                          <w:rStyle w:val="Hyperlink"/>
                          <w:rFonts w:ascii="Verdana" w:eastAsia="Times New Roman" w:hAnsi="Verdana"/>
                          <w:sz w:val="18"/>
                          <w:szCs w:val="18"/>
                        </w:rPr>
                        <w:t>https://www.health.qld.gov.au/system-governance/legislation/cho-public-health-directions-under-expanded-public-health-act-powers/border-restrictions/freight-services-protocol</w:t>
                      </w:r>
                    </w:hyperlink>
                  </w:p>
                  <w:p w14:paraId="0EDA9500" w14:textId="7E05C635" w:rsidR="004532F9" w:rsidRPr="004532F9" w:rsidRDefault="00D60500" w:rsidP="00D60500">
                    <w:pPr>
                      <w:spacing w:after="100" w:afterAutospacing="1" w:line="300" w:lineRule="auto"/>
                      <w:rPr>
                        <w:rFonts w:ascii="Helvetica" w:eastAsia="Times New Roman" w:hAnsi="Helvetica"/>
                        <w:color w:val="202020"/>
                        <w:sz w:val="20"/>
                        <w:szCs w:val="20"/>
                      </w:rPr>
                    </w:pPr>
                    <w:r w:rsidRPr="004532F9">
                      <w:rPr>
                        <w:rFonts w:ascii="Helvetica" w:eastAsia="Times New Roman" w:hAnsi="Helvetica"/>
                        <w:color w:val="202020"/>
                        <w:sz w:val="20"/>
                        <w:szCs w:val="20"/>
                      </w:rPr>
                      <w:t xml:space="preserve"> </w:t>
                    </w:r>
                  </w:p>
                  <w:p w14:paraId="064CFFDD" w14:textId="77777777" w:rsidR="00831EBB" w:rsidRPr="00370744" w:rsidRDefault="00831EBB" w:rsidP="00831EBB">
                    <w:pPr>
                      <w:spacing w:after="100" w:afterAutospacing="1" w:line="300" w:lineRule="auto"/>
                      <w:ind w:left="2160"/>
                      <w:rPr>
                        <w:rFonts w:ascii="Helvetica" w:eastAsia="Times New Roman" w:hAnsi="Helvetica"/>
                        <w:color w:val="202020"/>
                        <w:sz w:val="14"/>
                        <w:szCs w:val="14"/>
                      </w:rPr>
                    </w:pPr>
                  </w:p>
                  <w:p w14:paraId="39BDAD66" w14:textId="452D32BC" w:rsidR="000350F0" w:rsidRDefault="000350F0" w:rsidP="00222820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  <w:lang w:val="en-US"/>
                      </w:rPr>
                    </w:pPr>
                  </w:p>
                  <w:p w14:paraId="72003D52" w14:textId="0E3D69A1" w:rsidR="004532F9" w:rsidRDefault="004532F9" w:rsidP="00222820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  <w:lang w:val="en-US"/>
                      </w:rPr>
                    </w:pPr>
                  </w:p>
                  <w:p w14:paraId="6509FC42" w14:textId="77777777" w:rsidR="004532F9" w:rsidRDefault="004532F9" w:rsidP="00222820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  <w:lang w:val="en-US"/>
                      </w:rPr>
                    </w:pPr>
                  </w:p>
                  <w:p w14:paraId="4A15414F" w14:textId="77777777" w:rsidR="004422C3" w:rsidRDefault="004422C3" w:rsidP="004422C3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*</w:t>
                    </w:r>
                    <w:r w:rsidRPr="004422C3">
                      <w:rPr>
                        <w:b/>
                        <w:sz w:val="16"/>
                        <w:szCs w:val="16"/>
                        <w:lang w:val="en-US"/>
                      </w:rPr>
                      <w:t xml:space="preserve">These records must be retained and if requested, be produced to an </w:t>
                    </w:r>
                    <w:proofErr w:type="spellStart"/>
                    <w:r w:rsidRPr="004422C3">
                      <w:rPr>
                        <w:b/>
                        <w:sz w:val="16"/>
                        <w:szCs w:val="16"/>
                        <w:lang w:val="en-US"/>
                      </w:rPr>
                      <w:t>Authorised</w:t>
                    </w:r>
                    <w:proofErr w:type="spellEnd"/>
                    <w:r w:rsidRPr="004422C3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Officer </w:t>
                    </w:r>
                  </w:p>
                  <w:p w14:paraId="2C774AC5" w14:textId="77777777" w:rsidR="004422C3" w:rsidRPr="004422C3" w:rsidRDefault="004422C3" w:rsidP="004422C3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4422C3">
                      <w:rPr>
                        <w:b/>
                        <w:sz w:val="16"/>
                        <w:szCs w:val="16"/>
                        <w:lang w:val="en-US"/>
                      </w:rPr>
                      <w:t>as proof of compliance with Directions issued pursuant to th</w:t>
                    </w: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e Emergency Management Act, 2004.</w:t>
                    </w:r>
                  </w:p>
                </w:txbxContent>
              </v:textbox>
            </v:shape>
          </w:pict>
        </mc:Fallback>
      </mc:AlternateContent>
    </w:r>
  </w:p>
  <w:p w14:paraId="41F0459B" w14:textId="3F68D046" w:rsidR="007237CF" w:rsidRDefault="007237CF">
    <w:pPr>
      <w:pStyle w:val="Header"/>
    </w:pPr>
  </w:p>
  <w:p w14:paraId="330AE47F" w14:textId="43ECB886" w:rsidR="007237CF" w:rsidRDefault="007237CF">
    <w:pPr>
      <w:pStyle w:val="Header"/>
    </w:pPr>
  </w:p>
  <w:p w14:paraId="6B6FC518" w14:textId="77777777" w:rsidR="007237CF" w:rsidRDefault="007237CF">
    <w:pPr>
      <w:pStyle w:val="Header"/>
    </w:pPr>
  </w:p>
  <w:p w14:paraId="6AD78EA2" w14:textId="77777777" w:rsidR="006B4A83" w:rsidRDefault="006B4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22970"/>
    <w:multiLevelType w:val="multilevel"/>
    <w:tmpl w:val="EBA8229A"/>
    <w:lvl w:ilvl="0">
      <w:start w:val="3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67817C47"/>
    <w:multiLevelType w:val="multilevel"/>
    <w:tmpl w:val="E0D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83"/>
    <w:rsid w:val="00025E01"/>
    <w:rsid w:val="000350F0"/>
    <w:rsid w:val="000A07E1"/>
    <w:rsid w:val="000B62EA"/>
    <w:rsid w:val="00121234"/>
    <w:rsid w:val="002006A1"/>
    <w:rsid w:val="00222820"/>
    <w:rsid w:val="002C530F"/>
    <w:rsid w:val="00332754"/>
    <w:rsid w:val="00343BF1"/>
    <w:rsid w:val="00370744"/>
    <w:rsid w:val="00393D43"/>
    <w:rsid w:val="004422C3"/>
    <w:rsid w:val="004532F9"/>
    <w:rsid w:val="00484C97"/>
    <w:rsid w:val="00484FC3"/>
    <w:rsid w:val="004A7820"/>
    <w:rsid w:val="005B6477"/>
    <w:rsid w:val="005D4B5B"/>
    <w:rsid w:val="00677FA3"/>
    <w:rsid w:val="006B4A83"/>
    <w:rsid w:val="007237CF"/>
    <w:rsid w:val="007452E4"/>
    <w:rsid w:val="007D45CF"/>
    <w:rsid w:val="008208A0"/>
    <w:rsid w:val="00831EBB"/>
    <w:rsid w:val="008625EC"/>
    <w:rsid w:val="008A16F2"/>
    <w:rsid w:val="009873CA"/>
    <w:rsid w:val="009A477B"/>
    <w:rsid w:val="00A70AE4"/>
    <w:rsid w:val="00AA5430"/>
    <w:rsid w:val="00B02095"/>
    <w:rsid w:val="00B86696"/>
    <w:rsid w:val="00C65B15"/>
    <w:rsid w:val="00C77435"/>
    <w:rsid w:val="00CA5C04"/>
    <w:rsid w:val="00D13E2A"/>
    <w:rsid w:val="00D60500"/>
    <w:rsid w:val="00DC1D35"/>
    <w:rsid w:val="00E3692B"/>
    <w:rsid w:val="00E76F77"/>
    <w:rsid w:val="00E81CA3"/>
    <w:rsid w:val="00EE68A0"/>
    <w:rsid w:val="00F2058F"/>
    <w:rsid w:val="00F57F6D"/>
    <w:rsid w:val="00FA01F7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CD0AD"/>
  <w15:docId w15:val="{95BB1DE9-E986-44A7-B1D8-9F6B795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83"/>
  </w:style>
  <w:style w:type="paragraph" w:styleId="Footer">
    <w:name w:val="footer"/>
    <w:basedOn w:val="Normal"/>
    <w:link w:val="FooterChar"/>
    <w:uiPriority w:val="99"/>
    <w:unhideWhenUsed/>
    <w:rsid w:val="006B4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83"/>
  </w:style>
  <w:style w:type="table" w:styleId="TableGrid">
    <w:name w:val="Table Grid"/>
    <w:basedOn w:val="TableNormal"/>
    <w:uiPriority w:val="59"/>
    <w:rsid w:val="006B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47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2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0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70AE4"/>
    <w:rPr>
      <w:i/>
      <w:iCs/>
    </w:rPr>
  </w:style>
  <w:style w:type="character" w:styleId="Strong">
    <w:name w:val="Strong"/>
    <w:basedOn w:val="DefaultParagraphFont"/>
    <w:uiPriority w:val="22"/>
    <w:qFormat/>
    <w:rsid w:val="00A70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.qld.gov.au/system-governance/legislation/cho-public-health-directions-under-expanded-public-health-act-powers/border-restrictions/freight-services-protocol" TargetMode="External"/><Relationship Id="rId1" Type="http://schemas.openxmlformats.org/officeDocument/2006/relationships/hyperlink" Target="https://www.health.qld.gov.au/system-governance/legislation/cho-public-health-directions-under-expanded-public-health-act-powers/border-restrictions/freight-services-protoc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A834C31BF2D44A46045DE11308842" ma:contentTypeVersion="13" ma:contentTypeDescription="Create a new document." ma:contentTypeScope="" ma:versionID="5375668ca0d44d736c600d886ae53e95">
  <xsd:schema xmlns:xsd="http://www.w3.org/2001/XMLSchema" xmlns:xs="http://www.w3.org/2001/XMLSchema" xmlns:p="http://schemas.microsoft.com/office/2006/metadata/properties" xmlns:ns2="3d295ad5-bd0e-4538-90ac-ace15f5198d8" xmlns:ns3="2fab22b9-4763-4505-9052-6c64547ddbe5" targetNamespace="http://schemas.microsoft.com/office/2006/metadata/properties" ma:root="true" ma:fieldsID="1607b41ca17384d7d3eac64eaf3a7817" ns2:_="" ns3:_="">
    <xsd:import namespace="3d295ad5-bd0e-4538-90ac-ace15f5198d8"/>
    <xsd:import namespace="2fab22b9-4763-4505-9052-6c64547dd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5ad5-bd0e-4538-90ac-ace15f519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22b9-4763-4505-9052-6c64547dd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2F3A1-58B7-4745-917D-B0D7AF287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0255E-B7D7-4302-AE35-BA17CEE1478B}"/>
</file>

<file path=customXml/itemProps3.xml><?xml version="1.0" encoding="utf-8"?>
<ds:datastoreItem xmlns:ds="http://schemas.openxmlformats.org/officeDocument/2006/customXml" ds:itemID="{3B0BCDE8-938A-4D9B-B4C1-1CB8B47ED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158</CharactersWithSpaces>
  <SharedDoc>false</SharedDoc>
  <HLinks>
    <vt:vector size="6" baseType="variant"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https://www.health.qld.gov.au/system-governance/legislation/cho-public-health-directions-under-expanded-public-health-act-owers/border-restrictions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MAZIK</dc:creator>
  <cp:keywords/>
  <cp:lastModifiedBy>Lisa Fraser</cp:lastModifiedBy>
  <cp:revision>2</cp:revision>
  <cp:lastPrinted>2020-07-09T20:29:00Z</cp:lastPrinted>
  <dcterms:created xsi:type="dcterms:W3CDTF">2021-07-20T04:42:00Z</dcterms:created>
  <dcterms:modified xsi:type="dcterms:W3CDTF">2021-07-20T04:42:00Z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0x010100730A834C31BF2D44A46045DE11308842</vt:lpwstr>
  </property>
</Properties>
</file>